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0040C9"/>
        <w:tblCellMar>
          <w:left w:w="0" w:type="dxa"/>
          <w:right w:w="0" w:type="dxa"/>
        </w:tblCellMar>
        <w:tblLook w:val="04A0" w:firstRow="1" w:lastRow="0" w:firstColumn="1" w:lastColumn="0" w:noHBand="0" w:noVBand="1"/>
      </w:tblPr>
      <w:tblGrid>
        <w:gridCol w:w="9000"/>
      </w:tblGrid>
      <w:tr w:rsidR="002415B8" w:rsidRPr="002415B8" w14:paraId="011A1E32" w14:textId="77777777" w:rsidTr="002415B8">
        <w:trPr>
          <w:jc w:val="center"/>
        </w:trPr>
        <w:tc>
          <w:tcPr>
            <w:tcW w:w="0" w:type="auto"/>
            <w:shd w:val="clear" w:color="auto" w:fill="0040C9"/>
            <w:vAlign w:val="center"/>
            <w:hideMark/>
          </w:tcPr>
          <w:tbl>
            <w:tblPr>
              <w:tblW w:w="5000" w:type="pct"/>
              <w:tblCellMar>
                <w:left w:w="0" w:type="dxa"/>
                <w:right w:w="0" w:type="dxa"/>
              </w:tblCellMar>
              <w:tblLook w:val="04A0" w:firstRow="1" w:lastRow="0" w:firstColumn="1" w:lastColumn="0" w:noHBand="0" w:noVBand="1"/>
            </w:tblPr>
            <w:tblGrid>
              <w:gridCol w:w="9000"/>
            </w:tblGrid>
            <w:tr w:rsidR="002415B8" w:rsidRPr="002415B8" w14:paraId="122EC6FB" w14:textId="77777777">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415B8" w:rsidRPr="002415B8" w14:paraId="2410D425" w14:textId="77777777">
                    <w:tc>
                      <w:tcPr>
                        <w:tcW w:w="0" w:type="auto"/>
                        <w:shd w:val="clear" w:color="auto" w:fill="auto"/>
                        <w:tcMar>
                          <w:top w:w="75" w:type="dxa"/>
                          <w:left w:w="75" w:type="dxa"/>
                          <w:bottom w:w="75" w:type="dxa"/>
                          <w:right w:w="75" w:type="dxa"/>
                        </w:tcMar>
                        <w:vAlign w:val="center"/>
                        <w:hideMark/>
                      </w:tcPr>
                      <w:p w14:paraId="4BF8D504" w14:textId="77777777" w:rsidR="002415B8" w:rsidRPr="002415B8" w:rsidRDefault="002415B8" w:rsidP="002415B8">
                        <w:pPr>
                          <w:spacing w:before="100" w:beforeAutospacing="1" w:after="100" w:afterAutospacing="1"/>
                          <w:jc w:val="center"/>
                          <w:outlineLvl w:val="1"/>
                          <w:rPr>
                            <w:rFonts w:ascii="Arial" w:eastAsia="Times New Roman" w:hAnsi="Arial" w:cs="Arial"/>
                            <w:b/>
                            <w:bCs/>
                            <w:color w:val="000000"/>
                            <w:sz w:val="36"/>
                            <w:szCs w:val="36"/>
                          </w:rPr>
                        </w:pPr>
                        <w:r w:rsidRPr="002415B8">
                          <w:rPr>
                            <w:rFonts w:ascii="Arial" w:eastAsia="Times New Roman" w:hAnsi="Arial" w:cs="Arial"/>
                            <w:b/>
                            <w:bCs/>
                            <w:color w:val="FFFFFF"/>
                            <w:sz w:val="36"/>
                            <w:szCs w:val="36"/>
                          </w:rPr>
                          <w:t>Update - Audiology &amp; Speech-Language Pathology Interstate Compact (ASLP-IC)</w:t>
                        </w:r>
                      </w:p>
                    </w:tc>
                  </w:tr>
                </w:tbl>
                <w:p w14:paraId="34A7532D" w14:textId="77777777" w:rsidR="002415B8" w:rsidRPr="002415B8" w:rsidRDefault="002415B8" w:rsidP="002415B8">
                  <w:pPr>
                    <w:rPr>
                      <w:rFonts w:ascii="Times New Roman" w:eastAsia="Times New Roman" w:hAnsi="Times New Roman" w:cs="Times New Roman"/>
                      <w:sz w:val="24"/>
                      <w:szCs w:val="24"/>
                    </w:rPr>
                  </w:pPr>
                </w:p>
              </w:tc>
            </w:tr>
          </w:tbl>
          <w:p w14:paraId="279458A9" w14:textId="77777777" w:rsidR="002415B8" w:rsidRPr="002415B8" w:rsidRDefault="002415B8" w:rsidP="002415B8">
            <w:pPr>
              <w:textAlignment w:val="top"/>
              <w:rPr>
                <w:rFonts w:ascii="Times New Roman" w:eastAsia="Times New Roman" w:hAnsi="Times New Roman" w:cs="Times New Roman"/>
                <w:sz w:val="2"/>
                <w:szCs w:val="2"/>
              </w:rPr>
            </w:pPr>
          </w:p>
        </w:tc>
      </w:tr>
      <w:tr w:rsidR="002415B8" w:rsidRPr="002415B8" w14:paraId="3C459AD7" w14:textId="77777777" w:rsidTr="002415B8">
        <w:trPr>
          <w:jc w:val="center"/>
        </w:trPr>
        <w:tc>
          <w:tcPr>
            <w:tcW w:w="0" w:type="auto"/>
            <w:shd w:val="clear" w:color="auto" w:fill="0040C9"/>
            <w:vAlign w:val="center"/>
            <w:hideMark/>
          </w:tcPr>
          <w:tbl>
            <w:tblPr>
              <w:tblW w:w="5000" w:type="pct"/>
              <w:tblCellMar>
                <w:left w:w="0" w:type="dxa"/>
                <w:right w:w="0" w:type="dxa"/>
              </w:tblCellMar>
              <w:tblLook w:val="04A0" w:firstRow="1" w:lastRow="0" w:firstColumn="1" w:lastColumn="0" w:noHBand="0" w:noVBand="1"/>
            </w:tblPr>
            <w:tblGrid>
              <w:gridCol w:w="9000"/>
            </w:tblGrid>
            <w:tr w:rsidR="002415B8" w:rsidRPr="002415B8" w14:paraId="63113580" w14:textId="77777777">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415B8" w:rsidRPr="002415B8" w14:paraId="03D0904A" w14:textId="77777777">
                    <w:tc>
                      <w:tcPr>
                        <w:tcW w:w="0" w:type="auto"/>
                        <w:shd w:val="clear" w:color="auto" w:fill="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434"/>
                        </w:tblGrid>
                        <w:tr w:rsidR="002415B8" w:rsidRPr="002415B8" w14:paraId="76C23342" w14:textId="77777777">
                          <w:trPr>
                            <w:jc w:val="center"/>
                          </w:trPr>
                          <w:tc>
                            <w:tcPr>
                              <w:tcW w:w="0" w:type="auto"/>
                              <w:tcBorders>
                                <w:top w:val="nil"/>
                                <w:left w:val="nil"/>
                                <w:bottom w:val="nil"/>
                                <w:right w:val="nil"/>
                              </w:tcBorders>
                              <w:shd w:val="clear" w:color="auto" w:fill="3171FA"/>
                              <w:vAlign w:val="center"/>
                              <w:hideMark/>
                            </w:tcPr>
                            <w:p w14:paraId="62050CA0" w14:textId="77777777" w:rsidR="002415B8" w:rsidRPr="002415B8" w:rsidRDefault="002415B8" w:rsidP="002415B8">
                              <w:pPr>
                                <w:spacing w:line="0" w:lineRule="atLeast"/>
                                <w:jc w:val="center"/>
                                <w:rPr>
                                  <w:rFonts w:ascii="Times New Roman" w:eastAsia="Times New Roman" w:hAnsi="Times New Roman" w:cs="Times New Roman"/>
                                  <w:sz w:val="24"/>
                                  <w:szCs w:val="24"/>
                                </w:rPr>
                              </w:pPr>
                              <w:hyperlink r:id="rId5" w:tgtFrame="_blank" w:history="1">
                                <w:r w:rsidRPr="002415B8">
                                  <w:rPr>
                                    <w:rFonts w:ascii="Arial" w:eastAsia="Times New Roman" w:hAnsi="Arial" w:cs="Arial"/>
                                    <w:b/>
                                    <w:bCs/>
                                    <w:color w:val="FFFFFF"/>
                                    <w:sz w:val="30"/>
                                    <w:szCs w:val="30"/>
                                    <w:u w:val="single"/>
                                    <w:shd w:val="clear" w:color="auto" w:fill="3171FA"/>
                                  </w:rPr>
                                  <w:t>ASLP-IC Website</w:t>
                                </w:r>
                              </w:hyperlink>
                            </w:p>
                          </w:tc>
                        </w:tr>
                      </w:tbl>
                      <w:p w14:paraId="13356E2E" w14:textId="77777777" w:rsidR="002415B8" w:rsidRPr="002415B8" w:rsidRDefault="002415B8" w:rsidP="002415B8">
                        <w:pPr>
                          <w:jc w:val="center"/>
                          <w:rPr>
                            <w:rFonts w:ascii="Times New Roman" w:eastAsia="Times New Roman" w:hAnsi="Times New Roman" w:cs="Times New Roman"/>
                            <w:sz w:val="2"/>
                            <w:szCs w:val="2"/>
                          </w:rPr>
                        </w:pPr>
                      </w:p>
                    </w:tc>
                  </w:tr>
                </w:tbl>
                <w:p w14:paraId="733C157C" w14:textId="77777777" w:rsidR="002415B8" w:rsidRPr="002415B8" w:rsidRDefault="002415B8" w:rsidP="002415B8">
                  <w:pPr>
                    <w:rPr>
                      <w:rFonts w:ascii="Times New Roman" w:eastAsia="Times New Roman" w:hAnsi="Times New Roman" w:cs="Times New Roman"/>
                      <w:sz w:val="24"/>
                      <w:szCs w:val="24"/>
                    </w:rPr>
                  </w:pPr>
                </w:p>
              </w:tc>
            </w:tr>
          </w:tbl>
          <w:p w14:paraId="263E484B" w14:textId="77777777" w:rsidR="002415B8" w:rsidRPr="002415B8" w:rsidRDefault="002415B8" w:rsidP="002415B8">
            <w:pPr>
              <w:jc w:val="center"/>
              <w:rPr>
                <w:rFonts w:ascii="Times New Roman" w:eastAsia="Times New Roman" w:hAnsi="Times New Roman" w:cs="Times New Roman"/>
                <w:sz w:val="2"/>
                <w:szCs w:val="2"/>
              </w:rPr>
            </w:pPr>
            <w:r w:rsidRPr="002415B8">
              <w:rPr>
                <w:rFonts w:ascii="Times New Roman" w:eastAsia="Times New Roman" w:hAnsi="Times New Roman" w:cs="Times New Roman"/>
                <w:sz w:val="2"/>
                <w:szCs w:val="2"/>
              </w:rPr>
              <w:t> </w:t>
            </w:r>
          </w:p>
          <w:tbl>
            <w:tblPr>
              <w:tblW w:w="5000" w:type="pct"/>
              <w:tblCellMar>
                <w:left w:w="0" w:type="dxa"/>
                <w:right w:w="0" w:type="dxa"/>
              </w:tblCellMar>
              <w:tblLook w:val="04A0" w:firstRow="1" w:lastRow="0" w:firstColumn="1" w:lastColumn="0" w:noHBand="0" w:noVBand="1"/>
            </w:tblPr>
            <w:tblGrid>
              <w:gridCol w:w="9000"/>
            </w:tblGrid>
            <w:tr w:rsidR="002415B8" w:rsidRPr="002415B8" w14:paraId="368F5F95" w14:textId="77777777">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415B8" w:rsidRPr="002415B8" w14:paraId="0A446890" w14:textId="77777777">
                    <w:tc>
                      <w:tcPr>
                        <w:tcW w:w="0" w:type="auto"/>
                        <w:shd w:val="clear" w:color="auto" w:fill="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084"/>
                        </w:tblGrid>
                        <w:tr w:rsidR="002415B8" w:rsidRPr="002415B8" w14:paraId="3BF092B7" w14:textId="77777777">
                          <w:trPr>
                            <w:jc w:val="center"/>
                          </w:trPr>
                          <w:tc>
                            <w:tcPr>
                              <w:tcW w:w="0" w:type="auto"/>
                              <w:tcBorders>
                                <w:top w:val="nil"/>
                                <w:left w:val="nil"/>
                                <w:bottom w:val="nil"/>
                                <w:right w:val="nil"/>
                              </w:tcBorders>
                              <w:shd w:val="clear" w:color="auto" w:fill="3171FA"/>
                              <w:vAlign w:val="center"/>
                              <w:hideMark/>
                            </w:tcPr>
                            <w:p w14:paraId="3E682217" w14:textId="77777777" w:rsidR="002415B8" w:rsidRPr="002415B8" w:rsidRDefault="002415B8" w:rsidP="002415B8">
                              <w:pPr>
                                <w:spacing w:line="0" w:lineRule="atLeast"/>
                                <w:jc w:val="center"/>
                                <w:rPr>
                                  <w:rFonts w:ascii="Times New Roman" w:eastAsia="Times New Roman" w:hAnsi="Times New Roman" w:cs="Times New Roman"/>
                                  <w:sz w:val="24"/>
                                  <w:szCs w:val="24"/>
                                </w:rPr>
                              </w:pPr>
                              <w:hyperlink r:id="rId6" w:tgtFrame="_blank" w:history="1">
                                <w:r w:rsidRPr="002415B8">
                                  <w:rPr>
                                    <w:rFonts w:ascii="Arial" w:eastAsia="Times New Roman" w:hAnsi="Arial" w:cs="Arial"/>
                                    <w:b/>
                                    <w:bCs/>
                                    <w:color w:val="FFFFFF"/>
                                    <w:sz w:val="30"/>
                                    <w:szCs w:val="30"/>
                                    <w:u w:val="single"/>
                                    <w:shd w:val="clear" w:color="auto" w:fill="3171FA"/>
                                  </w:rPr>
                                  <w:t>ASLP-IC FAQs</w:t>
                                </w:r>
                              </w:hyperlink>
                            </w:p>
                          </w:tc>
                        </w:tr>
                      </w:tbl>
                      <w:p w14:paraId="17393F77" w14:textId="77777777" w:rsidR="002415B8" w:rsidRPr="002415B8" w:rsidRDefault="002415B8" w:rsidP="002415B8">
                        <w:pPr>
                          <w:jc w:val="center"/>
                          <w:rPr>
                            <w:rFonts w:ascii="Times New Roman" w:eastAsia="Times New Roman" w:hAnsi="Times New Roman" w:cs="Times New Roman"/>
                            <w:sz w:val="2"/>
                            <w:szCs w:val="2"/>
                          </w:rPr>
                        </w:pPr>
                      </w:p>
                    </w:tc>
                  </w:tr>
                </w:tbl>
                <w:p w14:paraId="7D6C15DB" w14:textId="77777777" w:rsidR="002415B8" w:rsidRPr="002415B8" w:rsidRDefault="002415B8" w:rsidP="002415B8">
                  <w:pPr>
                    <w:rPr>
                      <w:rFonts w:ascii="Times New Roman" w:eastAsia="Times New Roman" w:hAnsi="Times New Roman" w:cs="Times New Roman"/>
                      <w:sz w:val="24"/>
                      <w:szCs w:val="24"/>
                    </w:rPr>
                  </w:pPr>
                </w:p>
              </w:tc>
            </w:tr>
          </w:tbl>
          <w:p w14:paraId="355295B2" w14:textId="77777777" w:rsidR="002415B8" w:rsidRPr="002415B8" w:rsidRDefault="002415B8" w:rsidP="002415B8">
            <w:pPr>
              <w:textAlignment w:val="top"/>
              <w:rPr>
                <w:rFonts w:ascii="Times New Roman" w:eastAsia="Times New Roman" w:hAnsi="Times New Roman" w:cs="Times New Roman"/>
                <w:sz w:val="2"/>
                <w:szCs w:val="2"/>
              </w:rPr>
            </w:pPr>
          </w:p>
        </w:tc>
      </w:tr>
    </w:tbl>
    <w:p w14:paraId="55520764" w14:textId="77777777" w:rsidR="002415B8" w:rsidRPr="002415B8" w:rsidRDefault="002415B8" w:rsidP="002415B8">
      <w:pPr>
        <w:shd w:val="clear" w:color="auto" w:fill="0040C9"/>
        <w:rPr>
          <w:rFonts w:ascii="Arial" w:eastAsia="Times New Roman" w:hAnsi="Arial" w:cs="Arial"/>
          <w:vanish/>
          <w:color w:val="222222"/>
          <w:sz w:val="24"/>
          <w:szCs w:val="24"/>
        </w:rPr>
      </w:pPr>
    </w:p>
    <w:tbl>
      <w:tblPr>
        <w:tblW w:w="9000" w:type="dxa"/>
        <w:jc w:val="center"/>
        <w:shd w:val="clear" w:color="auto" w:fill="0040C9"/>
        <w:tblCellMar>
          <w:left w:w="0" w:type="dxa"/>
          <w:right w:w="0" w:type="dxa"/>
        </w:tblCellMar>
        <w:tblLook w:val="04A0" w:firstRow="1" w:lastRow="0" w:firstColumn="1" w:lastColumn="0" w:noHBand="0" w:noVBand="1"/>
      </w:tblPr>
      <w:tblGrid>
        <w:gridCol w:w="9000"/>
      </w:tblGrid>
      <w:tr w:rsidR="002415B8" w:rsidRPr="002415B8" w14:paraId="57C6BA52" w14:textId="77777777" w:rsidTr="002415B8">
        <w:trPr>
          <w:jc w:val="center"/>
        </w:trPr>
        <w:tc>
          <w:tcPr>
            <w:tcW w:w="0" w:type="auto"/>
            <w:shd w:val="clear" w:color="auto" w:fill="0040C9"/>
            <w:vAlign w:val="center"/>
            <w:hideMark/>
          </w:tcPr>
          <w:tbl>
            <w:tblPr>
              <w:tblW w:w="5000" w:type="pct"/>
              <w:tblCellMar>
                <w:left w:w="0" w:type="dxa"/>
                <w:right w:w="0" w:type="dxa"/>
              </w:tblCellMar>
              <w:tblLook w:val="04A0" w:firstRow="1" w:lastRow="0" w:firstColumn="1" w:lastColumn="0" w:noHBand="0" w:noVBand="1"/>
            </w:tblPr>
            <w:tblGrid>
              <w:gridCol w:w="9000"/>
            </w:tblGrid>
            <w:tr w:rsidR="002415B8" w:rsidRPr="002415B8" w14:paraId="267E91FC" w14:textId="77777777">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415B8" w:rsidRPr="002415B8" w14:paraId="2006983F" w14:textId="77777777">
                    <w:tc>
                      <w:tcPr>
                        <w:tcW w:w="0" w:type="auto"/>
                        <w:shd w:val="clear" w:color="auto" w:fill="auto"/>
                        <w:vAlign w:val="center"/>
                        <w:hideMark/>
                      </w:tcPr>
                      <w:tbl>
                        <w:tblPr>
                          <w:tblW w:w="0" w:type="auto"/>
                          <w:jc w:val="center"/>
                          <w:tblCellMar>
                            <w:left w:w="0" w:type="dxa"/>
                            <w:right w:w="0" w:type="dxa"/>
                          </w:tblCellMar>
                          <w:tblLook w:val="04A0" w:firstRow="1" w:lastRow="0" w:firstColumn="1" w:lastColumn="0" w:noHBand="0" w:noVBand="1"/>
                        </w:tblPr>
                        <w:tblGrid>
                          <w:gridCol w:w="8700"/>
                        </w:tblGrid>
                        <w:tr w:rsidR="002415B8" w:rsidRPr="002415B8" w14:paraId="5C5856DA" w14:textId="77777777">
                          <w:trPr>
                            <w:jc w:val="center"/>
                          </w:trPr>
                          <w:tc>
                            <w:tcPr>
                              <w:tcW w:w="8700" w:type="dxa"/>
                              <w:vAlign w:val="center"/>
                              <w:hideMark/>
                            </w:tcPr>
                            <w:p w14:paraId="46F266A3" w14:textId="77777777" w:rsidR="002415B8" w:rsidRPr="002415B8" w:rsidRDefault="002415B8" w:rsidP="002415B8">
                              <w:pPr>
                                <w:rPr>
                                  <w:rFonts w:ascii="Times New Roman" w:eastAsia="Times New Roman" w:hAnsi="Times New Roman" w:cs="Times New Roman"/>
                                  <w:sz w:val="24"/>
                                  <w:szCs w:val="24"/>
                                </w:rPr>
                              </w:pPr>
                              <w:r w:rsidRPr="002415B8">
                                <w:rPr>
                                  <w:rFonts w:ascii="Times New Roman" w:eastAsia="Times New Roman" w:hAnsi="Times New Roman" w:cs="Times New Roman"/>
                                  <w:noProof/>
                                  <w:sz w:val="24"/>
                                  <w:szCs w:val="24"/>
                                </w:rPr>
                                <w:drawing>
                                  <wp:inline distT="0" distB="0" distL="0" distR="0" wp14:anchorId="527B1332" wp14:editId="569C4F7C">
                                    <wp:extent cx="5524500" cy="20574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057400"/>
                                            </a:xfrm>
                                            <a:prstGeom prst="rect">
                                              <a:avLst/>
                                            </a:prstGeom>
                                            <a:noFill/>
                                            <a:ln>
                                              <a:noFill/>
                                            </a:ln>
                                          </pic:spPr>
                                        </pic:pic>
                                      </a:graphicData>
                                    </a:graphic>
                                  </wp:inline>
                                </w:drawing>
                              </w:r>
                            </w:p>
                          </w:tc>
                        </w:tr>
                      </w:tbl>
                      <w:p w14:paraId="4408C8A7" w14:textId="77777777" w:rsidR="002415B8" w:rsidRPr="002415B8" w:rsidRDefault="002415B8" w:rsidP="002415B8">
                        <w:pPr>
                          <w:jc w:val="center"/>
                          <w:rPr>
                            <w:rFonts w:ascii="Times New Roman" w:eastAsia="Times New Roman" w:hAnsi="Times New Roman" w:cs="Times New Roman"/>
                            <w:sz w:val="2"/>
                            <w:szCs w:val="2"/>
                          </w:rPr>
                        </w:pPr>
                      </w:p>
                    </w:tc>
                  </w:tr>
                </w:tbl>
                <w:p w14:paraId="380B59BE" w14:textId="77777777" w:rsidR="002415B8" w:rsidRPr="002415B8" w:rsidRDefault="002415B8" w:rsidP="002415B8">
                  <w:pPr>
                    <w:rPr>
                      <w:rFonts w:ascii="Times New Roman" w:eastAsia="Times New Roman" w:hAnsi="Times New Roman" w:cs="Times New Roman"/>
                      <w:sz w:val="24"/>
                      <w:szCs w:val="24"/>
                    </w:rPr>
                  </w:pPr>
                </w:p>
              </w:tc>
            </w:tr>
          </w:tbl>
          <w:p w14:paraId="60B340B8" w14:textId="77777777" w:rsidR="002415B8" w:rsidRPr="002415B8" w:rsidRDefault="002415B8" w:rsidP="002415B8">
            <w:pPr>
              <w:textAlignment w:val="top"/>
              <w:rPr>
                <w:rFonts w:ascii="Times New Roman" w:eastAsia="Times New Roman" w:hAnsi="Times New Roman" w:cs="Times New Roman"/>
                <w:sz w:val="2"/>
                <w:szCs w:val="2"/>
              </w:rPr>
            </w:pPr>
          </w:p>
        </w:tc>
      </w:tr>
      <w:tr w:rsidR="002415B8" w:rsidRPr="002415B8" w14:paraId="4EE21637" w14:textId="77777777" w:rsidTr="002415B8">
        <w:trPr>
          <w:jc w:val="center"/>
        </w:trPr>
        <w:tc>
          <w:tcPr>
            <w:tcW w:w="0" w:type="auto"/>
            <w:shd w:val="clear" w:color="auto" w:fill="0040C9"/>
            <w:vAlign w:val="center"/>
            <w:hideMark/>
          </w:tcPr>
          <w:tbl>
            <w:tblPr>
              <w:tblW w:w="5000" w:type="pct"/>
              <w:tblCellMar>
                <w:left w:w="0" w:type="dxa"/>
                <w:right w:w="0" w:type="dxa"/>
              </w:tblCellMar>
              <w:tblLook w:val="04A0" w:firstRow="1" w:lastRow="0" w:firstColumn="1" w:lastColumn="0" w:noHBand="0" w:noVBand="1"/>
            </w:tblPr>
            <w:tblGrid>
              <w:gridCol w:w="9000"/>
            </w:tblGrid>
            <w:tr w:rsidR="002415B8" w:rsidRPr="002415B8" w14:paraId="34826D8B" w14:textId="77777777">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415B8" w:rsidRPr="002415B8" w14:paraId="6CC80B2F" w14:textId="77777777">
                    <w:tc>
                      <w:tcPr>
                        <w:tcW w:w="0" w:type="auto"/>
                        <w:shd w:val="clear" w:color="auto" w:fill="FFFFFF"/>
                        <w:tcMar>
                          <w:top w:w="75" w:type="dxa"/>
                          <w:left w:w="75" w:type="dxa"/>
                          <w:bottom w:w="75" w:type="dxa"/>
                          <w:right w:w="75" w:type="dxa"/>
                        </w:tcMar>
                        <w:vAlign w:val="center"/>
                        <w:hideMark/>
                      </w:tcPr>
                      <w:p w14:paraId="7DE6AFB5"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color w:val="000000"/>
                            <w:sz w:val="24"/>
                            <w:szCs w:val="24"/>
                          </w:rPr>
                          <w:t>Considerable attention has been given to the ASLPC-IC, including its development and implementation. Following is general information about the compact as well as an update on its status. More information can be obtained from the Council of State Governments and from the American Speech-Language-Hearing Association.</w:t>
                        </w:r>
                      </w:p>
                      <w:p w14:paraId="15EF9D61"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b/>
                            <w:bCs/>
                            <w:color w:val="000000"/>
                            <w:sz w:val="24"/>
                            <w:szCs w:val="24"/>
                          </w:rPr>
                          <w:t>Background</w:t>
                        </w:r>
                        <w:r w:rsidRPr="002415B8">
                          <w:rPr>
                            <w:rFonts w:ascii="Arial" w:eastAsia="Times New Roman" w:hAnsi="Arial" w:cs="Arial"/>
                            <w:b/>
                            <w:bCs/>
                            <w:color w:val="000000"/>
                            <w:sz w:val="24"/>
                            <w:szCs w:val="24"/>
                          </w:rPr>
                          <w:br/>
                        </w:r>
                        <w:r w:rsidRPr="002415B8">
                          <w:rPr>
                            <w:rFonts w:ascii="Arial" w:eastAsia="Times New Roman" w:hAnsi="Arial" w:cs="Arial"/>
                            <w:color w:val="000000"/>
                            <w:sz w:val="24"/>
                            <w:szCs w:val="24"/>
                          </w:rPr>
                          <w:t xml:space="preserve">The Audiology and Speech-Language Pathology Interstate Licensing Compact (ASLP-IC) is a cooperative agreement enacted into law by participating states to facilitate the interstate practice of audiology and speech-language pathology while maintaining public protection. The compact became operational once 10 states enacted the compact language into law and met for the first time in January 2022.  A Commission now serves as the administrative body to manage the compact. Compact privilege refers to the authorization granted by a remote state to allow a licensee from another state to practice as an audiologist or speech-language pathologist in the remote state under that state’s law and rules. The practice occurs in the member state where the patient/client/student is located at the time of the encounter. The audiologist or speech-language </w:t>
                        </w:r>
                        <w:r w:rsidRPr="002415B8">
                          <w:rPr>
                            <w:rFonts w:ascii="Arial" w:eastAsia="Times New Roman" w:hAnsi="Arial" w:cs="Arial"/>
                            <w:color w:val="000000"/>
                            <w:sz w:val="24"/>
                            <w:szCs w:val="24"/>
                          </w:rPr>
                          <w:lastRenderedPageBreak/>
                          <w:t>pathologist has a home state of license which is the licensee’s primary state of residence.</w:t>
                        </w:r>
                      </w:p>
                      <w:p w14:paraId="24755800"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color w:val="000000"/>
                            <w:sz w:val="24"/>
                            <w:szCs w:val="24"/>
                          </w:rPr>
                          <w:t>The ASLP-IC Commission is the interstate administrative body created by the Compact. The Commission is composed of two Delegates from each member state’s licensing board/agency and is tasked with implementing the Compact’s provisions for interstate practice of audiology and SLP.  Committees are now meeting monthly. The meetings are open to the public, and you can find more information </w:t>
                        </w:r>
                        <w:hyperlink r:id="rId8" w:tgtFrame="_blank" w:history="1">
                          <w:r w:rsidRPr="002415B8">
                            <w:rPr>
                              <w:rFonts w:ascii="Arial" w:eastAsia="Times New Roman" w:hAnsi="Arial" w:cs="Arial"/>
                              <w:color w:val="1155CC"/>
                              <w:sz w:val="24"/>
                              <w:szCs w:val="24"/>
                              <w:u w:val="single"/>
                            </w:rPr>
                            <w:t>here</w:t>
                          </w:r>
                        </w:hyperlink>
                        <w:r w:rsidRPr="002415B8">
                          <w:rPr>
                            <w:rFonts w:ascii="Arial" w:eastAsia="Times New Roman" w:hAnsi="Arial" w:cs="Arial"/>
                            <w:color w:val="000000"/>
                            <w:sz w:val="24"/>
                            <w:szCs w:val="24"/>
                          </w:rPr>
                          <w:t>.</w:t>
                        </w:r>
                      </w:p>
                      <w:p w14:paraId="44BDAF99" w14:textId="77777777" w:rsidR="002415B8" w:rsidRPr="002415B8" w:rsidRDefault="002415B8" w:rsidP="002415B8">
                        <w:pPr>
                          <w:numPr>
                            <w:ilvl w:val="0"/>
                            <w:numId w:val="1"/>
                          </w:numPr>
                          <w:spacing w:before="100" w:beforeAutospacing="1" w:after="100" w:afterAutospacing="1"/>
                          <w:ind w:left="945"/>
                          <w:rPr>
                            <w:rFonts w:ascii="Arial" w:eastAsia="Times New Roman" w:hAnsi="Arial" w:cs="Arial"/>
                            <w:color w:val="000000"/>
                            <w:sz w:val="24"/>
                            <w:szCs w:val="24"/>
                          </w:rPr>
                        </w:pPr>
                        <w:proofErr w:type="spellStart"/>
                        <w:r w:rsidRPr="002415B8">
                          <w:rPr>
                            <w:rFonts w:ascii="Arial" w:eastAsia="Times New Roman" w:hAnsi="Arial" w:cs="Arial"/>
                            <w:color w:val="000000"/>
                            <w:sz w:val="24"/>
                            <w:szCs w:val="24"/>
                          </w:rPr>
                          <w:t>Nahale</w:t>
                        </w:r>
                        <w:proofErr w:type="spellEnd"/>
                        <w:r w:rsidRPr="002415B8">
                          <w:rPr>
                            <w:rFonts w:ascii="Arial" w:eastAsia="Times New Roman" w:hAnsi="Arial" w:cs="Arial"/>
                            <w:color w:val="000000"/>
                            <w:sz w:val="24"/>
                            <w:szCs w:val="24"/>
                          </w:rPr>
                          <w:t xml:space="preserve"> Kalfas is the compact’s Legal Counsel.</w:t>
                        </w:r>
                      </w:p>
                      <w:p w14:paraId="3C0651E1" w14:textId="77777777" w:rsidR="002415B8" w:rsidRPr="002415B8" w:rsidRDefault="002415B8" w:rsidP="002415B8">
                        <w:pPr>
                          <w:numPr>
                            <w:ilvl w:val="0"/>
                            <w:numId w:val="1"/>
                          </w:numPr>
                          <w:spacing w:before="100" w:beforeAutospacing="1" w:after="100" w:afterAutospacing="1"/>
                          <w:ind w:left="945"/>
                          <w:rPr>
                            <w:rFonts w:ascii="Arial" w:eastAsia="Times New Roman" w:hAnsi="Arial" w:cs="Arial"/>
                            <w:color w:val="000000"/>
                            <w:sz w:val="24"/>
                            <w:szCs w:val="24"/>
                          </w:rPr>
                        </w:pPr>
                        <w:r w:rsidRPr="002415B8">
                          <w:rPr>
                            <w:rFonts w:ascii="Arial" w:eastAsia="Times New Roman" w:hAnsi="Arial" w:cs="Arial"/>
                            <w:color w:val="000000"/>
                            <w:sz w:val="24"/>
                            <w:szCs w:val="24"/>
                          </w:rPr>
                          <w:t>Andrew Floyd is the compact’s Executive Director.</w:t>
                        </w:r>
                      </w:p>
                      <w:p w14:paraId="598001A6" w14:textId="77777777" w:rsidR="002415B8" w:rsidRPr="002415B8" w:rsidRDefault="002415B8" w:rsidP="002415B8">
                        <w:pPr>
                          <w:numPr>
                            <w:ilvl w:val="0"/>
                            <w:numId w:val="1"/>
                          </w:numPr>
                          <w:spacing w:before="100" w:beforeAutospacing="1" w:after="100" w:afterAutospacing="1"/>
                          <w:ind w:left="945"/>
                          <w:rPr>
                            <w:rFonts w:ascii="Arial" w:eastAsia="Times New Roman" w:hAnsi="Arial" w:cs="Arial"/>
                            <w:color w:val="000000"/>
                            <w:sz w:val="24"/>
                            <w:szCs w:val="24"/>
                          </w:rPr>
                        </w:pPr>
                        <w:r w:rsidRPr="002415B8">
                          <w:rPr>
                            <w:rFonts w:ascii="Arial" w:eastAsia="Times New Roman" w:hAnsi="Arial" w:cs="Arial"/>
                            <w:color w:val="000000"/>
                            <w:sz w:val="24"/>
                            <w:szCs w:val="24"/>
                          </w:rPr>
                          <w:t>The Council of State Governments (CSG) assists with services related to activating the compact.</w:t>
                        </w:r>
                      </w:p>
                      <w:p w14:paraId="1ECC2023" w14:textId="77777777" w:rsidR="002415B8" w:rsidRPr="002415B8" w:rsidRDefault="002415B8" w:rsidP="002415B8">
                        <w:pPr>
                          <w:numPr>
                            <w:ilvl w:val="0"/>
                            <w:numId w:val="1"/>
                          </w:numPr>
                          <w:spacing w:before="100" w:beforeAutospacing="1" w:after="100" w:afterAutospacing="1"/>
                          <w:ind w:left="945"/>
                          <w:rPr>
                            <w:rFonts w:ascii="Arial" w:eastAsia="Times New Roman" w:hAnsi="Arial" w:cs="Arial"/>
                            <w:color w:val="000000"/>
                            <w:sz w:val="24"/>
                            <w:szCs w:val="24"/>
                          </w:rPr>
                        </w:pPr>
                        <w:r w:rsidRPr="002415B8">
                          <w:rPr>
                            <w:rFonts w:ascii="Arial" w:eastAsia="Times New Roman" w:hAnsi="Arial" w:cs="Arial"/>
                            <w:color w:val="000000"/>
                            <w:sz w:val="24"/>
                            <w:szCs w:val="24"/>
                          </w:rPr>
                          <w:t>The National Council of State Boards of Examiners (NCSB) provides secretariat services to the compact.</w:t>
                        </w:r>
                      </w:p>
                      <w:p w14:paraId="17F9A899"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color w:val="000000"/>
                            <w:sz w:val="24"/>
                            <w:szCs w:val="24"/>
                          </w:rPr>
                          <w:t>The process of establishing the commission and operationalizing the compact typically takes 18 months to two years. Once the commission is fully operational and the member states are fully integrated in the compact’s data system, compact privileges to practice will become available. It is expected that applications for compact privileges will open in late 2024 – early 2025.</w:t>
                        </w:r>
                      </w:p>
                      <w:p w14:paraId="5FC5ACCD"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b/>
                            <w:bCs/>
                            <w:color w:val="000000"/>
                            <w:sz w:val="24"/>
                            <w:szCs w:val="24"/>
                          </w:rPr>
                          <w:t>Update (provided by Kerri Phillips, Ex Officio)</w:t>
                        </w:r>
                        <w:r w:rsidRPr="002415B8">
                          <w:rPr>
                            <w:rFonts w:ascii="Arial" w:eastAsia="Times New Roman" w:hAnsi="Arial" w:cs="Arial"/>
                            <w:b/>
                            <w:bCs/>
                            <w:color w:val="000000"/>
                            <w:sz w:val="24"/>
                            <w:szCs w:val="24"/>
                          </w:rPr>
                          <w:br/>
                        </w:r>
                        <w:r w:rsidRPr="002415B8">
                          <w:rPr>
                            <w:rFonts w:ascii="Arial" w:eastAsia="Times New Roman" w:hAnsi="Arial" w:cs="Arial"/>
                            <w:color w:val="000000"/>
                            <w:sz w:val="24"/>
                            <w:szCs w:val="24"/>
                          </w:rPr>
                          <w:t>The ASLP-IC Executive Committee conducted a special joint compact commission meeting on January 18, 2024, with the Counseling Compact Commission and the Occupational Therapy Licensure Compact Commission. The purpose of the meeting was to discuss the request for proposal (RFP) process for a data bank system.  After a review of proposals, each of the compacts’ chairs voted on which entities to interview.  The interviews were conducted the week of February 16, 2024.  All information will be posted and updated on the </w:t>
                        </w:r>
                        <w:hyperlink r:id="rId9" w:tgtFrame="_blank" w:history="1">
                          <w:r w:rsidRPr="002415B8">
                            <w:rPr>
                              <w:rFonts w:ascii="Arial" w:eastAsia="Times New Roman" w:hAnsi="Arial" w:cs="Arial"/>
                              <w:color w:val="1155CC"/>
                              <w:sz w:val="24"/>
                              <w:szCs w:val="24"/>
                              <w:u w:val="single"/>
                            </w:rPr>
                            <w:t>ASLP-IC website</w:t>
                          </w:r>
                        </w:hyperlink>
                        <w:r w:rsidRPr="002415B8">
                          <w:rPr>
                            <w:rFonts w:ascii="Arial" w:eastAsia="Times New Roman" w:hAnsi="Arial" w:cs="Arial"/>
                            <w:color w:val="000000"/>
                            <w:sz w:val="24"/>
                            <w:szCs w:val="24"/>
                          </w:rPr>
                          <w:t>.</w:t>
                        </w:r>
                      </w:p>
                      <w:p w14:paraId="3D832FA8" w14:textId="77777777" w:rsidR="002415B8" w:rsidRPr="002415B8" w:rsidRDefault="002415B8" w:rsidP="002415B8">
                        <w:pPr>
                          <w:spacing w:before="240" w:after="240"/>
                          <w:rPr>
                            <w:rFonts w:ascii="Arial" w:eastAsia="Times New Roman" w:hAnsi="Arial" w:cs="Arial"/>
                            <w:color w:val="000000"/>
                            <w:sz w:val="24"/>
                            <w:szCs w:val="24"/>
                          </w:rPr>
                        </w:pPr>
                        <w:r w:rsidRPr="002415B8">
                          <w:rPr>
                            <w:rFonts w:ascii="Arial" w:eastAsia="Times New Roman" w:hAnsi="Arial" w:cs="Arial"/>
                            <w:color w:val="000000"/>
                            <w:sz w:val="24"/>
                            <w:szCs w:val="24"/>
                          </w:rPr>
                          <w:t>There are now 31 states that are part of the ASLP-IC, with Florida and Wisconsin being the newest member states. </w:t>
                        </w:r>
                      </w:p>
                    </w:tc>
                  </w:tr>
                </w:tbl>
                <w:p w14:paraId="5161EB08" w14:textId="77777777" w:rsidR="002415B8" w:rsidRPr="002415B8" w:rsidRDefault="002415B8" w:rsidP="002415B8">
                  <w:pPr>
                    <w:rPr>
                      <w:rFonts w:ascii="Times New Roman" w:eastAsia="Times New Roman" w:hAnsi="Times New Roman" w:cs="Times New Roman"/>
                      <w:sz w:val="24"/>
                      <w:szCs w:val="24"/>
                    </w:rPr>
                  </w:pPr>
                </w:p>
              </w:tc>
            </w:tr>
          </w:tbl>
          <w:p w14:paraId="0AB14CF5" w14:textId="77777777" w:rsidR="002415B8" w:rsidRPr="002415B8" w:rsidRDefault="002415B8" w:rsidP="002415B8">
            <w:pPr>
              <w:textAlignment w:val="top"/>
              <w:rPr>
                <w:rFonts w:ascii="Times New Roman" w:eastAsia="Times New Roman" w:hAnsi="Times New Roman" w:cs="Times New Roman"/>
                <w:sz w:val="2"/>
                <w:szCs w:val="2"/>
              </w:rPr>
            </w:pPr>
          </w:p>
        </w:tc>
      </w:tr>
    </w:tbl>
    <w:p w14:paraId="07E52885" w14:textId="77777777" w:rsidR="00D0175D" w:rsidRDefault="00D0175D"/>
    <w:sectPr w:rsidR="00D0175D" w:rsidSect="002C60A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D6CC8"/>
    <w:multiLevelType w:val="multilevel"/>
    <w:tmpl w:val="1F5C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8"/>
    <w:rsid w:val="002415B8"/>
    <w:rsid w:val="002C60A2"/>
    <w:rsid w:val="00D0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E19"/>
  <w15:chartTrackingRefBased/>
  <w15:docId w15:val="{E062BCE8-DF6E-470D-A385-D406D0A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65441">
      <w:bodyDiv w:val="1"/>
      <w:marLeft w:val="0"/>
      <w:marRight w:val="0"/>
      <w:marTop w:val="0"/>
      <w:marBottom w:val="0"/>
      <w:divBdr>
        <w:top w:val="none" w:sz="0" w:space="0" w:color="auto"/>
        <w:left w:val="none" w:sz="0" w:space="0" w:color="auto"/>
        <w:bottom w:val="none" w:sz="0" w:space="0" w:color="auto"/>
        <w:right w:val="none" w:sz="0" w:space="0" w:color="auto"/>
      </w:divBdr>
      <w:divsChild>
        <w:div w:id="831987448">
          <w:marLeft w:val="0"/>
          <w:marRight w:val="0"/>
          <w:marTop w:val="0"/>
          <w:marBottom w:val="0"/>
          <w:divBdr>
            <w:top w:val="none" w:sz="0" w:space="0" w:color="auto"/>
            <w:left w:val="none" w:sz="0" w:space="0" w:color="auto"/>
            <w:bottom w:val="none" w:sz="0" w:space="0" w:color="auto"/>
            <w:right w:val="none" w:sz="0" w:space="0" w:color="auto"/>
          </w:divBdr>
        </w:div>
        <w:div w:id="162484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b.info/EmailTracker/LinkTracker.ashx?linkAndRecipientCode=rnCKNokoCZRHgtdGS4KlGemoFM9nMGLsxY%2bsS987CBf%2byOr1xUUNhBatntsbPxdknkge46KXDOPgfQp5QBgYB35%2fgoftxF%2ffzqZOmv4y8Vc%3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b.info/EmailTracker/LinkTracker.ashx?linkAndRecipientCode=w66EwbUYOt79r7F3YJzB5SUJ48VO65C9NTNUT1xt5BwgK8TH0v4c3ccZZohxblGib21wPcS32%2bKNLX6Ihy9oNyS9t4JieXIK21vT%2fZmNky8%3d" TargetMode="External"/><Relationship Id="rId11" Type="http://schemas.openxmlformats.org/officeDocument/2006/relationships/theme" Target="theme/theme1.xml"/><Relationship Id="rId5" Type="http://schemas.openxmlformats.org/officeDocument/2006/relationships/hyperlink" Target="https://ncsb.info/EmailTracker/LinkTracker.ashx?linkAndRecipientCode=w0JAo63THnkjUXwUJerlzweX8KCPUpfjyh0wtWvCi%2fNWxgH3ph%2fPyB%2bW5C1%2b8qPHd7TCa1yTWE0g8xnlL18KeR6a6e1favxDoVoLi43ngRo%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sb.info/EmailTracker/LinkTracker.ashx?linkAndRecipientCode=w0JAo63THnkjUXwUJerlzweX8KCPUpfjyh0wtWvCi%2fNWxgH3ph%2fPyB%2bW5C1%2b8qPHd7TCa1yTWE0g8xnlL18KeR6a6e1favxDoVoLi43ngRo%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Nesbitt</dc:creator>
  <cp:keywords/>
  <dc:description/>
  <cp:lastModifiedBy>Patty Nesbitt</cp:lastModifiedBy>
  <cp:revision>1</cp:revision>
  <dcterms:created xsi:type="dcterms:W3CDTF">2024-04-09T20:37:00Z</dcterms:created>
  <dcterms:modified xsi:type="dcterms:W3CDTF">2024-04-09T20:42:00Z</dcterms:modified>
</cp:coreProperties>
</file>